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5F19" w14:textId="77777777" w:rsidR="00A63C35" w:rsidRDefault="00A63C35">
      <w:pPr>
        <w:pStyle w:val="Heading1"/>
        <w:spacing w:before="240" w:after="120" w:line="240" w:lineRule="auto"/>
        <w:rPr>
          <w:rFonts w:ascii="Arial" w:eastAsia="Arial" w:hAnsi="Arial" w:cs="Arial"/>
          <w:b/>
          <w:bCs w:val="0"/>
          <w:color w:val="auto"/>
          <w:sz w:val="22"/>
          <w:szCs w:val="22"/>
        </w:rPr>
      </w:pPr>
    </w:p>
    <w:p w14:paraId="43B9F62B" w14:textId="79385D1C" w:rsidR="00D85D14" w:rsidRPr="00730EBB" w:rsidRDefault="00336D21">
      <w:pPr>
        <w:pStyle w:val="Heading1"/>
        <w:spacing w:before="240" w:after="120" w:line="240" w:lineRule="auto"/>
        <w:rPr>
          <w:rFonts w:ascii="Arial" w:hAnsi="Arial" w:cs="Arial"/>
          <w:b/>
          <w:bCs w:val="0"/>
          <w:color w:val="auto"/>
          <w:sz w:val="22"/>
          <w:szCs w:val="22"/>
        </w:rPr>
      </w:pPr>
      <w:r w:rsidRPr="00730EBB">
        <w:rPr>
          <w:rFonts w:ascii="Arial" w:eastAsia="Arial" w:hAnsi="Arial" w:cs="Arial"/>
          <w:b/>
          <w:bCs w:val="0"/>
          <w:color w:val="auto"/>
          <w:sz w:val="22"/>
          <w:szCs w:val="22"/>
        </w:rPr>
        <w:t xml:space="preserve">1. </w:t>
      </w:r>
      <w:r w:rsidR="00EA7156">
        <w:rPr>
          <w:rFonts w:ascii="Arial" w:eastAsia="Arial" w:hAnsi="Arial" w:cs="Arial"/>
          <w:b/>
          <w:bCs w:val="0"/>
          <w:color w:val="auto"/>
          <w:sz w:val="22"/>
          <w:szCs w:val="22"/>
        </w:rPr>
        <w:t>Statement</w:t>
      </w:r>
    </w:p>
    <w:p w14:paraId="55EF99B6" w14:textId="58F35E65" w:rsidR="00EA7156" w:rsidRDefault="00EA7156" w:rsidP="00EA7156">
      <w:pPr>
        <w:pStyle w:val="BodyText"/>
        <w:rPr>
          <w:rFonts w:cs="Arial"/>
          <w:sz w:val="22"/>
        </w:rPr>
      </w:pPr>
      <w:r w:rsidRPr="00EA7156">
        <w:rPr>
          <w:rFonts w:cs="Arial"/>
          <w:sz w:val="22"/>
        </w:rPr>
        <w:t>Muir Group plc ("Muir Construction Ltd", "Muir Homes Ltd", "Muir Timber Systems Ltd", "Muir</w:t>
      </w:r>
      <w:r>
        <w:rPr>
          <w:rFonts w:cs="Arial"/>
          <w:sz w:val="22"/>
        </w:rPr>
        <w:t xml:space="preserve"> </w:t>
      </w:r>
      <w:r w:rsidRPr="00EA7156">
        <w:rPr>
          <w:rFonts w:cs="Arial"/>
          <w:sz w:val="22"/>
        </w:rPr>
        <w:t>Leisure Ltd", "Hermiston Securities Ltd", "Muir Aberdeen Ltd", "JW Muir Property Investments</w:t>
      </w:r>
      <w:r>
        <w:rPr>
          <w:rFonts w:cs="Arial"/>
          <w:sz w:val="22"/>
        </w:rPr>
        <w:t xml:space="preserve"> </w:t>
      </w:r>
      <w:r w:rsidRPr="00EA7156">
        <w:rPr>
          <w:rFonts w:cs="Arial"/>
          <w:sz w:val="22"/>
        </w:rPr>
        <w:t>Ltd") is committed to ensuring we provide a work environment that is free from slavery,</w:t>
      </w:r>
      <w:r>
        <w:rPr>
          <w:rFonts w:cs="Arial"/>
          <w:sz w:val="22"/>
        </w:rPr>
        <w:t xml:space="preserve"> </w:t>
      </w:r>
      <w:r w:rsidRPr="00EA7156">
        <w:rPr>
          <w:rFonts w:cs="Arial"/>
          <w:sz w:val="22"/>
        </w:rPr>
        <w:t xml:space="preserve">human trafficking, forced </w:t>
      </w:r>
      <w:proofErr w:type="spellStart"/>
      <w:r w:rsidRPr="00EA7156">
        <w:rPr>
          <w:rFonts w:cs="Arial"/>
          <w:sz w:val="22"/>
        </w:rPr>
        <w:t>labour</w:t>
      </w:r>
      <w:proofErr w:type="spellEnd"/>
      <w:r w:rsidRPr="00EA7156">
        <w:rPr>
          <w:rFonts w:cs="Arial"/>
          <w:sz w:val="22"/>
        </w:rPr>
        <w:t>, and or similar human rights abuses. Therefore, Muir Group</w:t>
      </w:r>
      <w:r>
        <w:rPr>
          <w:rFonts w:cs="Arial"/>
          <w:sz w:val="22"/>
        </w:rPr>
        <w:t xml:space="preserve"> </w:t>
      </w:r>
      <w:r w:rsidRPr="00EA7156">
        <w:rPr>
          <w:rFonts w:cs="Arial"/>
          <w:sz w:val="22"/>
        </w:rPr>
        <w:t xml:space="preserve">plc will not knowingly work with Companies that employ or </w:t>
      </w:r>
      <w:proofErr w:type="spellStart"/>
      <w:r w:rsidRPr="00EA7156">
        <w:rPr>
          <w:rFonts w:cs="Arial"/>
          <w:sz w:val="22"/>
        </w:rPr>
        <w:t>utilise</w:t>
      </w:r>
      <w:proofErr w:type="spellEnd"/>
      <w:r w:rsidRPr="00EA7156">
        <w:rPr>
          <w:rFonts w:cs="Arial"/>
          <w:sz w:val="22"/>
        </w:rPr>
        <w:t xml:space="preserve"> forced </w:t>
      </w:r>
      <w:proofErr w:type="spellStart"/>
      <w:r w:rsidRPr="00EA7156">
        <w:rPr>
          <w:rFonts w:cs="Arial"/>
          <w:sz w:val="22"/>
        </w:rPr>
        <w:t>labour</w:t>
      </w:r>
      <w:proofErr w:type="spellEnd"/>
      <w:r w:rsidRPr="00EA7156">
        <w:rPr>
          <w:rFonts w:cs="Arial"/>
          <w:sz w:val="22"/>
        </w:rPr>
        <w:t>.</w:t>
      </w:r>
      <w:r>
        <w:rPr>
          <w:rFonts w:cs="Arial"/>
          <w:sz w:val="22"/>
        </w:rPr>
        <w:t xml:space="preserve"> </w:t>
      </w:r>
    </w:p>
    <w:p w14:paraId="7230AD58" w14:textId="77777777" w:rsidR="00EA7156" w:rsidRDefault="00EA7156" w:rsidP="00EA7156">
      <w:pPr>
        <w:pStyle w:val="BodyText"/>
        <w:rPr>
          <w:rFonts w:cs="Arial"/>
          <w:sz w:val="22"/>
        </w:rPr>
      </w:pPr>
      <w:r w:rsidRPr="00EA7156">
        <w:rPr>
          <w:rFonts w:cs="Arial"/>
          <w:sz w:val="22"/>
        </w:rPr>
        <w:t>We are also committed to ensuring our approach to tackling modern slavery in our own</w:t>
      </w:r>
      <w:r>
        <w:rPr>
          <w:rFonts w:cs="Arial"/>
          <w:sz w:val="22"/>
        </w:rPr>
        <w:t xml:space="preserve"> </w:t>
      </w:r>
      <w:r w:rsidRPr="00EA7156">
        <w:rPr>
          <w:rFonts w:cs="Arial"/>
          <w:sz w:val="22"/>
        </w:rPr>
        <w:t>business and throughout our supply chains is consistent with our disclosure obligations</w:t>
      </w:r>
      <w:r>
        <w:rPr>
          <w:rFonts w:cs="Arial"/>
          <w:sz w:val="22"/>
        </w:rPr>
        <w:t xml:space="preserve"> </w:t>
      </w:r>
      <w:r w:rsidRPr="00EA7156">
        <w:rPr>
          <w:rFonts w:cs="Arial"/>
          <w:sz w:val="22"/>
        </w:rPr>
        <w:t>under the Modern Slavery Act 2015.</w:t>
      </w:r>
      <w:r>
        <w:rPr>
          <w:rFonts w:cs="Arial"/>
          <w:sz w:val="22"/>
        </w:rPr>
        <w:t xml:space="preserve"> </w:t>
      </w:r>
    </w:p>
    <w:p w14:paraId="14220CE4" w14:textId="0CD189B1" w:rsidR="00EA7156" w:rsidRPr="00EA7156" w:rsidRDefault="00EA7156" w:rsidP="00EA7156">
      <w:pPr>
        <w:pStyle w:val="BodyText"/>
        <w:rPr>
          <w:rFonts w:cs="Arial"/>
          <w:sz w:val="22"/>
        </w:rPr>
      </w:pPr>
      <w:r w:rsidRPr="00EA7156">
        <w:rPr>
          <w:rFonts w:cs="Arial"/>
          <w:sz w:val="22"/>
        </w:rPr>
        <w:t>As part of our contracting process, we include prohibitions against the use of forced,</w:t>
      </w:r>
      <w:r>
        <w:rPr>
          <w:rFonts w:cs="Arial"/>
          <w:sz w:val="22"/>
        </w:rPr>
        <w:t xml:space="preserve"> </w:t>
      </w:r>
      <w:r w:rsidRPr="00EA7156">
        <w:rPr>
          <w:rFonts w:cs="Arial"/>
          <w:sz w:val="22"/>
        </w:rPr>
        <w:t xml:space="preserve">compulsory or trafficked </w:t>
      </w:r>
      <w:proofErr w:type="spellStart"/>
      <w:r w:rsidRPr="00EA7156">
        <w:rPr>
          <w:rFonts w:cs="Arial"/>
          <w:sz w:val="22"/>
        </w:rPr>
        <w:t>labour</w:t>
      </w:r>
      <w:proofErr w:type="spellEnd"/>
      <w:r w:rsidRPr="00EA7156">
        <w:rPr>
          <w:rFonts w:cs="Arial"/>
          <w:sz w:val="22"/>
        </w:rPr>
        <w:t>, or anyone held in slavery or servitude</w:t>
      </w:r>
      <w:r w:rsidR="00E54AD3">
        <w:rPr>
          <w:rFonts w:cs="Arial"/>
          <w:sz w:val="22"/>
        </w:rPr>
        <w:t>,</w:t>
      </w:r>
      <w:r w:rsidRPr="00EA7156">
        <w:rPr>
          <w:rFonts w:cs="Arial"/>
          <w:sz w:val="22"/>
        </w:rPr>
        <w:t xml:space="preserve"> and we expect that our</w:t>
      </w:r>
      <w:r>
        <w:rPr>
          <w:rFonts w:cs="Arial"/>
          <w:sz w:val="22"/>
        </w:rPr>
        <w:t xml:space="preserve"> </w:t>
      </w:r>
      <w:r w:rsidRPr="00EA7156">
        <w:rPr>
          <w:rFonts w:cs="Arial"/>
          <w:sz w:val="22"/>
        </w:rPr>
        <w:t>suppliers will hold their own suppliers to the same standards.</w:t>
      </w:r>
    </w:p>
    <w:p w14:paraId="720C3237" w14:textId="1E851BFC" w:rsidR="00EA7156" w:rsidRPr="00EA7156" w:rsidRDefault="00EA7156" w:rsidP="00EA7156">
      <w:pPr>
        <w:pStyle w:val="BodyText"/>
        <w:rPr>
          <w:rFonts w:cs="Arial"/>
          <w:sz w:val="22"/>
        </w:rPr>
      </w:pPr>
      <w:r w:rsidRPr="00EA7156">
        <w:rPr>
          <w:rFonts w:cs="Arial"/>
          <w:sz w:val="22"/>
        </w:rPr>
        <w:t xml:space="preserve">This </w:t>
      </w:r>
      <w:r>
        <w:rPr>
          <w:rFonts w:cs="Arial"/>
          <w:sz w:val="22"/>
        </w:rPr>
        <w:t>Statement</w:t>
      </w:r>
      <w:r w:rsidRPr="00EA7156">
        <w:rPr>
          <w:rFonts w:cs="Arial"/>
          <w:sz w:val="22"/>
        </w:rPr>
        <w:t xml:space="preserve"> applies to all persons working for us or on our behalf in any capacity, including</w:t>
      </w:r>
      <w:r>
        <w:rPr>
          <w:rFonts w:cs="Arial"/>
          <w:sz w:val="22"/>
        </w:rPr>
        <w:t xml:space="preserve"> </w:t>
      </w:r>
      <w:r w:rsidRPr="00EA7156">
        <w:rPr>
          <w:rFonts w:cs="Arial"/>
          <w:sz w:val="22"/>
        </w:rPr>
        <w:t>employees at all levels, directors, officers, agency workers, seconded workers, volunteers,</w:t>
      </w:r>
      <w:r>
        <w:rPr>
          <w:rFonts w:cs="Arial"/>
          <w:sz w:val="22"/>
        </w:rPr>
        <w:t xml:space="preserve"> </w:t>
      </w:r>
      <w:r w:rsidRPr="00EA7156">
        <w:rPr>
          <w:rFonts w:cs="Arial"/>
          <w:sz w:val="22"/>
        </w:rPr>
        <w:t>agents, contractors, external consultants, third-party representatives and business partners.</w:t>
      </w:r>
    </w:p>
    <w:p w14:paraId="4CB7E519" w14:textId="77777777" w:rsidR="00EA7156" w:rsidRDefault="00EA7156" w:rsidP="00EA7156">
      <w:pPr>
        <w:pStyle w:val="Heading1"/>
        <w:spacing w:before="240" w:after="120" w:line="240" w:lineRule="auto"/>
        <w:rPr>
          <w:rFonts w:ascii="Arial" w:eastAsia="Arial" w:hAnsi="Arial" w:cs="Arial"/>
          <w:b/>
          <w:bCs w:val="0"/>
          <w:color w:val="auto"/>
          <w:sz w:val="22"/>
          <w:szCs w:val="22"/>
        </w:rPr>
      </w:pPr>
      <w:r>
        <w:rPr>
          <w:rFonts w:ascii="Arial" w:eastAsia="Arial" w:hAnsi="Arial" w:cs="Arial"/>
          <w:b/>
          <w:bCs w:val="0"/>
          <w:color w:val="auto"/>
          <w:sz w:val="22"/>
          <w:szCs w:val="22"/>
        </w:rPr>
        <w:t>Approval</w:t>
      </w:r>
    </w:p>
    <w:p w14:paraId="18DF8F50" w14:textId="77777777" w:rsidR="00EA7156" w:rsidRPr="00A63C35" w:rsidRDefault="00EA7156" w:rsidP="00EA7156">
      <w:pPr>
        <w:pStyle w:val="BodyText"/>
        <w:rPr>
          <w:rFonts w:cs="Arial"/>
          <w:sz w:val="22"/>
        </w:rPr>
      </w:pPr>
      <w:r w:rsidRPr="00A63C35">
        <w:rPr>
          <w:rFonts w:cs="Arial"/>
          <w:sz w:val="22"/>
        </w:rPr>
        <w:t>This Modern Slavery and Human Trafficking Statement is made on behalf of the Muir Group and its associated businesses in accordance with Section 54 of the Modern Slavery Act 2015.</w:t>
      </w:r>
    </w:p>
    <w:p w14:paraId="5389A3D6" w14:textId="77777777" w:rsidR="00EA7156" w:rsidRPr="00A63C35" w:rsidRDefault="00EA7156" w:rsidP="00EA7156">
      <w:pPr>
        <w:pStyle w:val="BodyText"/>
        <w:rPr>
          <w:rFonts w:cs="Arial"/>
          <w:sz w:val="22"/>
        </w:rPr>
      </w:pPr>
      <w:r w:rsidRPr="00A63C35">
        <w:rPr>
          <w:rFonts w:cs="Arial"/>
          <w:sz w:val="22"/>
        </w:rPr>
        <w:t>This statement relates to the financial year ending 31 January 2026 and outlines the steps taken by Muir to prevent modern slavery and human trafficking within our business operations and supply chains.</w:t>
      </w:r>
    </w:p>
    <w:p w14:paraId="3D4B9D55" w14:textId="77777777" w:rsidR="00EA7156" w:rsidRPr="00EA7156" w:rsidRDefault="00EA7156" w:rsidP="00EA7156"/>
    <w:p w14:paraId="44579C18" w14:textId="77777777" w:rsidR="00EA7156" w:rsidRPr="00BD22DB" w:rsidRDefault="00EA7156" w:rsidP="00EA7156">
      <w:pPr>
        <w:pStyle w:val="BodyText"/>
        <w:spacing w:line="240" w:lineRule="auto"/>
        <w:rPr>
          <w:rFonts w:cs="Arial"/>
          <w:sz w:val="22"/>
        </w:rPr>
      </w:pPr>
      <w:r w:rsidRPr="00BD22DB">
        <w:rPr>
          <w:rFonts w:cs="Arial"/>
          <w:sz w:val="22"/>
        </w:rPr>
        <w:t>J W Muir</w:t>
      </w:r>
      <w:r w:rsidRPr="00BD22DB">
        <w:rPr>
          <w:rFonts w:cs="Arial"/>
          <w:sz w:val="22"/>
        </w:rPr>
        <w:br/>
        <w:t>Chairman</w:t>
      </w:r>
    </w:p>
    <w:p w14:paraId="700C169D" w14:textId="59FB7446" w:rsidR="00EA7156" w:rsidRPr="00BD22DB" w:rsidRDefault="00EA7156" w:rsidP="00EA7156">
      <w:pPr>
        <w:pStyle w:val="BodyText"/>
        <w:spacing w:line="240" w:lineRule="auto"/>
        <w:rPr>
          <w:rFonts w:cs="Arial"/>
          <w:sz w:val="22"/>
        </w:rPr>
      </w:pPr>
      <w:r w:rsidRPr="00BD22DB">
        <w:rPr>
          <w:rFonts w:cs="Arial"/>
          <w:sz w:val="22"/>
        </w:rPr>
        <w:t xml:space="preserve">Date: </w:t>
      </w:r>
      <w:r w:rsidR="00D43F3C">
        <w:rPr>
          <w:rFonts w:cs="Arial"/>
          <w:sz w:val="22"/>
        </w:rPr>
        <w:t xml:space="preserve">14 </w:t>
      </w:r>
      <w:r>
        <w:rPr>
          <w:rFonts w:cs="Arial"/>
          <w:sz w:val="22"/>
        </w:rPr>
        <w:t>May 2026</w:t>
      </w:r>
    </w:p>
    <w:p w14:paraId="629EA27C" w14:textId="77777777" w:rsidR="00EA7156" w:rsidRDefault="00EA7156" w:rsidP="00A63C35">
      <w:pPr>
        <w:pStyle w:val="BodyText"/>
        <w:rPr>
          <w:rFonts w:cs="Arial"/>
          <w:sz w:val="22"/>
        </w:rPr>
      </w:pPr>
    </w:p>
    <w:p w14:paraId="0D50D8E5" w14:textId="77777777" w:rsidR="00EA7156" w:rsidRDefault="00EA7156" w:rsidP="00A63C35">
      <w:pPr>
        <w:pStyle w:val="BodyText"/>
        <w:rPr>
          <w:rFonts w:cs="Arial"/>
          <w:sz w:val="22"/>
        </w:rPr>
      </w:pPr>
    </w:p>
    <w:p w14:paraId="444C460B" w14:textId="29FCF197" w:rsidR="00DA1F32" w:rsidRDefault="00A63C35" w:rsidP="00A63C35">
      <w:pPr>
        <w:pStyle w:val="BodyText"/>
        <w:rPr>
          <w:rFonts w:cs="Arial"/>
          <w:sz w:val="22"/>
        </w:rPr>
      </w:pPr>
      <w:r w:rsidRPr="00A63C35">
        <w:rPr>
          <w:rFonts w:cs="Arial"/>
          <w:sz w:val="22"/>
        </w:rPr>
        <w:t xml:space="preserve"> </w:t>
      </w:r>
    </w:p>
    <w:p w14:paraId="5F1450E8" w14:textId="64A50B85" w:rsidR="00730EBB" w:rsidRDefault="00730EBB">
      <w:pPr>
        <w:rPr>
          <w:rFonts w:cs="Arial"/>
          <w:bCs/>
          <w:color w:val="365F91" w:themeColor="accent1" w:themeShade="BF"/>
          <w:sz w:val="22"/>
        </w:rPr>
      </w:pPr>
      <w:r>
        <w:rPr>
          <w:rFonts w:cs="Arial"/>
          <w:sz w:val="22"/>
        </w:rPr>
        <w:br w:type="page"/>
      </w:r>
    </w:p>
    <w:p w14:paraId="58D09638" w14:textId="77777777" w:rsidR="00A63C35" w:rsidRDefault="00A63C35" w:rsidP="00A63C35">
      <w:pPr>
        <w:pStyle w:val="BodyText"/>
        <w:spacing w:line="240" w:lineRule="auto"/>
        <w:rPr>
          <w:rFonts w:cs="Arial"/>
          <w:sz w:val="22"/>
        </w:rPr>
      </w:pPr>
    </w:p>
    <w:p w14:paraId="19616033" w14:textId="3354D733" w:rsidR="00D85D14" w:rsidRPr="00A63C35" w:rsidRDefault="00336D21" w:rsidP="00A63C35">
      <w:pPr>
        <w:pStyle w:val="BodyText"/>
        <w:spacing w:line="240" w:lineRule="auto"/>
        <w:rPr>
          <w:rFonts w:cs="Arial"/>
          <w:sz w:val="22"/>
        </w:rPr>
      </w:pPr>
      <w:r w:rsidRPr="00730EBB">
        <w:rPr>
          <w:rFonts w:cs="Arial"/>
          <w:b/>
          <w:sz w:val="22"/>
        </w:rPr>
        <w:t xml:space="preserve">Appendix </w:t>
      </w:r>
      <w:r w:rsidR="00A63C35">
        <w:rPr>
          <w:rFonts w:cs="Arial"/>
          <w:b/>
          <w:bCs/>
          <w:sz w:val="22"/>
        </w:rPr>
        <w:t>1</w:t>
      </w:r>
      <w:r w:rsidRPr="00730EBB">
        <w:rPr>
          <w:rFonts w:cs="Arial"/>
          <w:b/>
          <w:sz w:val="22"/>
        </w:rPr>
        <w:t xml:space="preserve"> - Legal and </w:t>
      </w:r>
      <w:r w:rsidR="00A63C35">
        <w:rPr>
          <w:rFonts w:cs="Arial"/>
          <w:b/>
          <w:bCs/>
          <w:sz w:val="22"/>
        </w:rPr>
        <w:t>G</w:t>
      </w:r>
      <w:r w:rsidRPr="00730EBB">
        <w:rPr>
          <w:rFonts w:cs="Arial"/>
          <w:b/>
          <w:sz w:val="22"/>
        </w:rPr>
        <w:t xml:space="preserve">uidance </w:t>
      </w:r>
      <w:r w:rsidR="00A63C35">
        <w:rPr>
          <w:rFonts w:cs="Arial"/>
          <w:b/>
          <w:bCs/>
          <w:sz w:val="22"/>
        </w:rPr>
        <w:t>B</w:t>
      </w:r>
      <w:r w:rsidRPr="00730EBB">
        <w:rPr>
          <w:rFonts w:cs="Arial"/>
          <w:b/>
          <w:sz w:val="22"/>
        </w:rPr>
        <w:t xml:space="preserve">asis </w:t>
      </w:r>
      <w:r w:rsidR="00A63C35">
        <w:rPr>
          <w:rFonts w:cs="Arial"/>
          <w:b/>
          <w:bCs/>
          <w:sz w:val="22"/>
        </w:rPr>
        <w:t>U</w:t>
      </w:r>
      <w:r w:rsidRPr="00730EBB">
        <w:rPr>
          <w:rFonts w:cs="Arial"/>
          <w:b/>
          <w:sz w:val="22"/>
        </w:rPr>
        <w:t>sed</w:t>
      </w:r>
    </w:p>
    <w:p w14:paraId="47B4469D" w14:textId="77777777" w:rsidR="00D85D14" w:rsidRPr="00730EBB" w:rsidRDefault="00336D21">
      <w:pPr>
        <w:pStyle w:val="BodyText"/>
        <w:spacing w:line="240" w:lineRule="auto"/>
        <w:rPr>
          <w:rFonts w:cs="Arial"/>
          <w:sz w:val="22"/>
        </w:rPr>
      </w:pPr>
      <w:r w:rsidRPr="00730EBB">
        <w:rPr>
          <w:rFonts w:cs="Arial"/>
          <w:sz w:val="22"/>
        </w:rPr>
        <w:t>This policy has been prepared with reference to the following legal and guidance sources. The list is included to support review and maintenance of the policy and should be checked at each review cycle:</w:t>
      </w:r>
    </w:p>
    <w:p w14:paraId="6A05D6D0" w14:textId="56B99BA2" w:rsidR="00D85D14" w:rsidRPr="00730EBB" w:rsidRDefault="00336D21" w:rsidP="00BD22DB">
      <w:pPr>
        <w:pStyle w:val="ListParagraph"/>
        <w:numPr>
          <w:ilvl w:val="0"/>
          <w:numId w:val="11"/>
        </w:numPr>
        <w:spacing w:after="60"/>
        <w:rPr>
          <w:rFonts w:cs="Arial"/>
          <w:sz w:val="22"/>
        </w:rPr>
      </w:pPr>
      <w:r w:rsidRPr="00730EBB">
        <w:rPr>
          <w:rFonts w:cs="Arial"/>
          <w:sz w:val="22"/>
        </w:rPr>
        <w:t>Modern Slavery Act 2015, including offences of slavery, servitude, forced or compulsory labour and human trafficking, and section 54 transparency in supply chains requirements.</w:t>
      </w:r>
    </w:p>
    <w:p w14:paraId="7D0EEB56" w14:textId="411D0D7D" w:rsidR="00D85D14" w:rsidRPr="00730EBB" w:rsidRDefault="00336D21" w:rsidP="00BD22DB">
      <w:pPr>
        <w:pStyle w:val="ListParagraph"/>
        <w:numPr>
          <w:ilvl w:val="0"/>
          <w:numId w:val="11"/>
        </w:numPr>
        <w:spacing w:after="60"/>
        <w:rPr>
          <w:rFonts w:cs="Arial"/>
          <w:sz w:val="22"/>
        </w:rPr>
      </w:pPr>
      <w:r w:rsidRPr="00730EBB">
        <w:rPr>
          <w:rFonts w:cs="Arial"/>
          <w:sz w:val="22"/>
        </w:rPr>
        <w:t>Home Office / GOV.UK Transparency in supply chains statutory guidance and practical guidance on modern slavery statements.</w:t>
      </w:r>
    </w:p>
    <w:p w14:paraId="40673329" w14:textId="68302049" w:rsidR="00D85D14" w:rsidRPr="00730EBB" w:rsidRDefault="00336D21" w:rsidP="00BD22DB">
      <w:pPr>
        <w:pStyle w:val="ListParagraph"/>
        <w:numPr>
          <w:ilvl w:val="0"/>
          <w:numId w:val="11"/>
        </w:numPr>
        <w:spacing w:after="60"/>
        <w:rPr>
          <w:rFonts w:cs="Arial"/>
          <w:sz w:val="22"/>
        </w:rPr>
      </w:pPr>
      <w:r w:rsidRPr="00730EBB">
        <w:rPr>
          <w:rFonts w:cs="Arial"/>
          <w:sz w:val="22"/>
        </w:rPr>
        <w:t>GOV.UK guidance on publishing an annual modern slavery statement, including annual review, board approval, sign off and website publication expectations.</w:t>
      </w:r>
    </w:p>
    <w:p w14:paraId="52227B8B" w14:textId="342EEE8A" w:rsidR="00D85D14" w:rsidRPr="00730EBB" w:rsidRDefault="00336D21" w:rsidP="00BD22DB">
      <w:pPr>
        <w:pStyle w:val="ListParagraph"/>
        <w:numPr>
          <w:ilvl w:val="0"/>
          <w:numId w:val="11"/>
        </w:numPr>
        <w:spacing w:after="60"/>
        <w:rPr>
          <w:rFonts w:cs="Arial"/>
          <w:sz w:val="22"/>
        </w:rPr>
      </w:pPr>
      <w:r w:rsidRPr="00730EBB">
        <w:rPr>
          <w:rFonts w:cs="Arial"/>
          <w:sz w:val="22"/>
        </w:rPr>
        <w:t>GOV.UK Procurement Policy Note 009 guidance on tackling modern slavery in government supply chains, including remediation and victim-centred response expectations.</w:t>
      </w:r>
    </w:p>
    <w:p w14:paraId="0FEA608F" w14:textId="1D0AF865" w:rsidR="00D85D14" w:rsidRPr="00730EBB" w:rsidRDefault="00336D21" w:rsidP="00BD22DB">
      <w:pPr>
        <w:pStyle w:val="ListParagraph"/>
        <w:numPr>
          <w:ilvl w:val="0"/>
          <w:numId w:val="11"/>
        </w:numPr>
        <w:spacing w:after="60"/>
        <w:rPr>
          <w:rFonts w:cs="Arial"/>
          <w:sz w:val="22"/>
        </w:rPr>
      </w:pPr>
      <w:r w:rsidRPr="00730EBB">
        <w:rPr>
          <w:rFonts w:cs="Arial"/>
          <w:sz w:val="22"/>
        </w:rPr>
        <w:t>UK Government modern slavery briefing for the construction industry, including construction-specific warning signs and recommended checks.</w:t>
      </w:r>
    </w:p>
    <w:p w14:paraId="2D87185B" w14:textId="08071280" w:rsidR="00D85D14" w:rsidRPr="00730EBB" w:rsidRDefault="00336D21" w:rsidP="00BD22DB">
      <w:pPr>
        <w:pStyle w:val="ListParagraph"/>
        <w:numPr>
          <w:ilvl w:val="0"/>
          <w:numId w:val="11"/>
        </w:numPr>
        <w:spacing w:after="60"/>
        <w:rPr>
          <w:rFonts w:cs="Arial"/>
          <w:sz w:val="22"/>
        </w:rPr>
      </w:pPr>
      <w:r w:rsidRPr="00730EBB">
        <w:rPr>
          <w:rFonts w:cs="Arial"/>
          <w:sz w:val="22"/>
        </w:rPr>
        <w:t>CIOB policy position and construction industry guidance on modern slavery risk, fragmented supply chains, procurement and subcontractor control.</w:t>
      </w:r>
    </w:p>
    <w:p w14:paraId="32BE1CB2" w14:textId="23A57746" w:rsidR="00D85D14" w:rsidRPr="00730EBB" w:rsidRDefault="00336D21" w:rsidP="00BD22DB">
      <w:pPr>
        <w:pStyle w:val="ListParagraph"/>
        <w:numPr>
          <w:ilvl w:val="0"/>
          <w:numId w:val="11"/>
        </w:numPr>
        <w:spacing w:after="60"/>
        <w:rPr>
          <w:rFonts w:cs="Arial"/>
          <w:sz w:val="22"/>
        </w:rPr>
      </w:pPr>
      <w:r w:rsidRPr="00730EBB">
        <w:rPr>
          <w:rFonts w:cs="Arial"/>
          <w:sz w:val="22"/>
        </w:rPr>
        <w:t>Public Interest Disclosure Act 1998 and wider whistleblowing principles, where concerns may amount to protected disclosures.</w:t>
      </w:r>
    </w:p>
    <w:p w14:paraId="425FB700" w14:textId="530B6EBF" w:rsidR="00D85D14" w:rsidRPr="00730EBB" w:rsidRDefault="00336D21" w:rsidP="00BD22DB">
      <w:pPr>
        <w:pStyle w:val="ListParagraph"/>
        <w:numPr>
          <w:ilvl w:val="0"/>
          <w:numId w:val="11"/>
        </w:numPr>
        <w:spacing w:after="60"/>
        <w:rPr>
          <w:rFonts w:cs="Arial"/>
          <w:sz w:val="22"/>
        </w:rPr>
      </w:pPr>
      <w:r w:rsidRPr="00730EBB">
        <w:rPr>
          <w:rFonts w:cs="Arial"/>
          <w:sz w:val="22"/>
        </w:rPr>
        <w:t>UK GDPR and Data Protection Act 2018 requirements where personal data, special category data or information about potential victims is recorded or shared.</w:t>
      </w:r>
    </w:p>
    <w:p w14:paraId="77EDF291" w14:textId="77777777" w:rsidR="00730EBB" w:rsidRPr="00730EBB" w:rsidRDefault="00730EBB">
      <w:pPr>
        <w:pStyle w:val="ListParagraph"/>
        <w:spacing w:after="60" w:line="240" w:lineRule="auto"/>
        <w:ind w:left="340" w:hanging="170"/>
        <w:rPr>
          <w:rFonts w:cs="Arial"/>
          <w:sz w:val="22"/>
        </w:rPr>
      </w:pPr>
    </w:p>
    <w:sectPr w:rsidR="00730EBB" w:rsidRPr="00730EBB" w:rsidSect="00034616">
      <w:headerReference w:type="default" r:id="rId11"/>
      <w:footerReference w:type="default" r:id="rId12"/>
      <w:pgSz w:w="11906" w:h="16838"/>
      <w:pgMar w:top="907" w:right="680" w:bottom="6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8A6E" w14:textId="77777777" w:rsidR="00336D21" w:rsidRDefault="00336D21">
      <w:pPr>
        <w:spacing w:after="0" w:line="240" w:lineRule="auto"/>
      </w:pPr>
      <w:r>
        <w:separator/>
      </w:r>
    </w:p>
  </w:endnote>
  <w:endnote w:type="continuationSeparator" w:id="0">
    <w:p w14:paraId="304FDF20" w14:textId="77777777" w:rsidR="00336D21" w:rsidRDefault="0033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DFD9" w14:textId="77777777" w:rsidR="00D85D14" w:rsidRPr="00730EBB" w:rsidRDefault="00336D21">
    <w:pPr>
      <w:spacing w:after="0"/>
      <w:jc w:val="center"/>
      <w:rPr>
        <w:sz w:val="18"/>
        <w:szCs w:val="18"/>
      </w:rPr>
    </w:pPr>
    <w:r w:rsidRPr="00730EBB">
      <w:rPr>
        <w:sz w:val="18"/>
        <w:szCs w:val="18"/>
      </w:rPr>
      <w:t xml:space="preserve">Page </w:t>
    </w:r>
    <w:r w:rsidRPr="00730EBB">
      <w:rPr>
        <w:sz w:val="18"/>
        <w:szCs w:val="18"/>
      </w:rPr>
      <w:fldChar w:fldCharType="begin"/>
    </w:r>
    <w:r w:rsidRPr="00730EBB">
      <w:rPr>
        <w:sz w:val="18"/>
        <w:szCs w:val="18"/>
      </w:rPr>
      <w:instrText>PAGE</w:instrText>
    </w:r>
    <w:r w:rsidRPr="00730EBB">
      <w:rPr>
        <w:sz w:val="18"/>
        <w:szCs w:val="18"/>
      </w:rPr>
      <w:fldChar w:fldCharType="separate"/>
    </w:r>
    <w:r w:rsidRPr="00730EBB">
      <w:rPr>
        <w:sz w:val="18"/>
        <w:szCs w:val="18"/>
      </w:rPr>
      <w:t>1</w:t>
    </w:r>
    <w:r w:rsidRPr="00730EBB">
      <w:rPr>
        <w:sz w:val="18"/>
        <w:szCs w:val="18"/>
      </w:rPr>
      <w:fldChar w:fldCharType="end"/>
    </w:r>
    <w:r w:rsidRPr="00730EBB">
      <w:rPr>
        <w:sz w:val="18"/>
        <w:szCs w:val="18"/>
      </w:rPr>
      <w:t xml:space="preserve"> of </w:t>
    </w:r>
    <w:r w:rsidRPr="00730EBB">
      <w:rPr>
        <w:sz w:val="18"/>
        <w:szCs w:val="18"/>
      </w:rPr>
      <w:fldChar w:fldCharType="begin"/>
    </w:r>
    <w:r w:rsidRPr="00730EBB">
      <w:rPr>
        <w:sz w:val="18"/>
        <w:szCs w:val="18"/>
      </w:rPr>
      <w:instrText>NUMPAGES</w:instrText>
    </w:r>
    <w:r w:rsidRPr="00730EBB">
      <w:rPr>
        <w:sz w:val="18"/>
        <w:szCs w:val="18"/>
      </w:rPr>
      <w:fldChar w:fldCharType="separate"/>
    </w:r>
    <w:r w:rsidRPr="00730EBB">
      <w:rPr>
        <w:sz w:val="18"/>
        <w:szCs w:val="18"/>
      </w:rPr>
      <w:t>1</w:t>
    </w:r>
    <w:r w:rsidRPr="00730EB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1953" w14:textId="77777777" w:rsidR="00336D21" w:rsidRDefault="00336D21">
      <w:pPr>
        <w:spacing w:after="0" w:line="240" w:lineRule="auto"/>
      </w:pPr>
      <w:r>
        <w:separator/>
      </w:r>
    </w:p>
  </w:footnote>
  <w:footnote w:type="continuationSeparator" w:id="0">
    <w:p w14:paraId="5663DC7E" w14:textId="77777777" w:rsidR="00336D21" w:rsidRDefault="00336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285"/>
      <w:gridCol w:w="5599"/>
      <w:gridCol w:w="2192"/>
    </w:tblGrid>
    <w:tr w:rsidR="00D85D14" w14:paraId="3DE66708" w14:textId="77777777" w:rsidTr="00DA1F32">
      <w:trPr>
        <w:jc w:val="center"/>
      </w:trPr>
      <w:tc>
        <w:tcPr>
          <w:tcW w:w="2325" w:type="dxa"/>
          <w:tcBorders>
            <w:top w:val="single" w:sz="6" w:space="0" w:color="000000"/>
            <w:left w:val="single" w:sz="6" w:space="0" w:color="000000"/>
            <w:bottom w:val="single" w:sz="6" w:space="0" w:color="000000"/>
            <w:right w:val="single" w:sz="6" w:space="0" w:color="000000"/>
          </w:tcBorders>
          <w:vAlign w:val="center"/>
        </w:tcPr>
        <w:p w14:paraId="1B047E0A" w14:textId="6B5BCE6B" w:rsidR="00D85D14" w:rsidRDefault="00DA1F32">
          <w:pPr>
            <w:spacing w:after="0"/>
            <w:jc w:val="center"/>
          </w:pPr>
          <w:r>
            <w:rPr>
              <w:noProof/>
            </w:rPr>
            <w:drawing>
              <wp:anchor distT="36576" distB="36576" distL="36576" distR="36576" simplePos="0" relativeHeight="251678208" behindDoc="0" locked="0" layoutInCell="1" allowOverlap="1" wp14:anchorId="3C0AC945" wp14:editId="795EC672">
                <wp:simplePos x="0" y="0"/>
                <wp:positionH relativeFrom="column">
                  <wp:posOffset>9525</wp:posOffset>
                </wp:positionH>
                <wp:positionV relativeFrom="paragraph">
                  <wp:posOffset>99060</wp:posOffset>
                </wp:positionV>
                <wp:extent cx="1250950" cy="7016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0950" cy="701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670" w:type="dxa"/>
          <w:tcBorders>
            <w:top w:val="single" w:sz="6" w:space="0" w:color="000000"/>
            <w:left w:val="single" w:sz="6" w:space="0" w:color="000000"/>
            <w:bottom w:val="single" w:sz="6" w:space="0" w:color="000000"/>
            <w:right w:val="single" w:sz="6" w:space="0" w:color="000000"/>
          </w:tcBorders>
          <w:vAlign w:val="center"/>
        </w:tcPr>
        <w:p w14:paraId="6A181286" w14:textId="77777777" w:rsidR="00DA1F32" w:rsidRDefault="00DA1F32">
          <w:pPr>
            <w:spacing w:after="0"/>
            <w:jc w:val="center"/>
            <w:rPr>
              <w:b/>
              <w:sz w:val="20"/>
            </w:rPr>
          </w:pPr>
        </w:p>
        <w:p w14:paraId="0A6B7F08" w14:textId="77777777" w:rsidR="00DA1F32" w:rsidRDefault="00DA1F32">
          <w:pPr>
            <w:spacing w:after="0"/>
            <w:jc w:val="center"/>
            <w:rPr>
              <w:b/>
              <w:sz w:val="20"/>
            </w:rPr>
          </w:pPr>
        </w:p>
        <w:p w14:paraId="70737C22" w14:textId="4D05E703" w:rsidR="00DA1F32" w:rsidRPr="00DA1F32" w:rsidRDefault="00DA1F32">
          <w:pPr>
            <w:spacing w:after="0"/>
            <w:jc w:val="center"/>
            <w:rPr>
              <w:b/>
              <w:sz w:val="28"/>
              <w:szCs w:val="28"/>
            </w:rPr>
          </w:pPr>
          <w:r>
            <w:rPr>
              <w:b/>
              <w:sz w:val="28"/>
              <w:szCs w:val="28"/>
            </w:rPr>
            <w:t xml:space="preserve">MODERN SLAVERY </w:t>
          </w:r>
          <w:r w:rsidR="00A63C35">
            <w:rPr>
              <w:b/>
              <w:sz w:val="28"/>
              <w:szCs w:val="28"/>
            </w:rPr>
            <w:t>STATEMENT</w:t>
          </w:r>
        </w:p>
        <w:p w14:paraId="27D6EF39" w14:textId="77777777" w:rsidR="00D85D14" w:rsidRDefault="00D85D14">
          <w:pPr>
            <w:spacing w:after="0"/>
            <w:jc w:val="center"/>
          </w:pPr>
        </w:p>
        <w:p w14:paraId="166417D5" w14:textId="1637DEC9" w:rsidR="00DA1F32" w:rsidRDefault="00DA1F32">
          <w:pPr>
            <w:spacing w:after="0"/>
            <w:jc w:val="center"/>
          </w:pPr>
        </w:p>
      </w:tc>
      <w:tc>
        <w:tcPr>
          <w:tcW w:w="2211" w:type="dxa"/>
          <w:tcBorders>
            <w:top w:val="single" w:sz="6" w:space="0" w:color="000000"/>
            <w:left w:val="single" w:sz="6" w:space="0" w:color="000000"/>
            <w:bottom w:val="single" w:sz="6" w:space="0" w:color="000000"/>
            <w:right w:val="single" w:sz="6" w:space="0" w:color="000000"/>
          </w:tcBorders>
          <w:vAlign w:val="center"/>
        </w:tcPr>
        <w:p w14:paraId="18F303D3" w14:textId="20C112DA" w:rsidR="00D85D14" w:rsidRPr="00DA1F32" w:rsidRDefault="00DA1F32">
          <w:pPr>
            <w:spacing w:after="0"/>
            <w:rPr>
              <w:sz w:val="18"/>
              <w:szCs w:val="18"/>
            </w:rPr>
          </w:pPr>
          <w:r w:rsidRPr="00DA1F32">
            <w:rPr>
              <w:b/>
              <w:sz w:val="18"/>
              <w:szCs w:val="18"/>
            </w:rPr>
            <w:t xml:space="preserve">FORM NO: HRPOL - </w:t>
          </w:r>
          <w:r w:rsidR="00EA7156">
            <w:rPr>
              <w:b/>
              <w:sz w:val="18"/>
              <w:szCs w:val="18"/>
            </w:rPr>
            <w:t>20</w:t>
          </w:r>
          <w:r w:rsidR="00BD22DB">
            <w:rPr>
              <w:b/>
              <w:sz w:val="18"/>
              <w:szCs w:val="18"/>
            </w:rPr>
            <w:t xml:space="preserve"> </w:t>
          </w:r>
          <w:r w:rsidRPr="00DA1F32">
            <w:rPr>
              <w:b/>
              <w:sz w:val="18"/>
              <w:szCs w:val="18"/>
            </w:rPr>
            <w:t xml:space="preserve">VERSION: </w:t>
          </w:r>
          <w:r w:rsidR="00A63C35">
            <w:rPr>
              <w:b/>
              <w:sz w:val="18"/>
              <w:szCs w:val="18"/>
            </w:rPr>
            <w:t>1</w:t>
          </w:r>
          <w:r w:rsidRPr="00DA1F32">
            <w:rPr>
              <w:sz w:val="18"/>
              <w:szCs w:val="18"/>
            </w:rPr>
            <w:br/>
          </w:r>
          <w:r w:rsidRPr="00DA1F32">
            <w:rPr>
              <w:b/>
              <w:sz w:val="18"/>
              <w:szCs w:val="18"/>
            </w:rPr>
            <w:t>REVIEWED: MAY 26</w:t>
          </w:r>
          <w:r w:rsidRPr="00DA1F32">
            <w:rPr>
              <w:sz w:val="18"/>
              <w:szCs w:val="18"/>
            </w:rPr>
            <w:br/>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5F6E2C"/>
    <w:multiLevelType w:val="multilevel"/>
    <w:tmpl w:val="985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A3FDB"/>
    <w:multiLevelType w:val="multilevel"/>
    <w:tmpl w:val="05C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23A1C"/>
    <w:multiLevelType w:val="multilevel"/>
    <w:tmpl w:val="E95E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F0A88"/>
    <w:multiLevelType w:val="multilevel"/>
    <w:tmpl w:val="4AE2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17D93"/>
    <w:multiLevelType w:val="hybridMultilevel"/>
    <w:tmpl w:val="6C1246C4"/>
    <w:lvl w:ilvl="0" w:tplc="99DC3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C11A76"/>
    <w:multiLevelType w:val="multilevel"/>
    <w:tmpl w:val="D44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9068">
    <w:abstractNumId w:val="8"/>
  </w:num>
  <w:num w:numId="2" w16cid:durableId="1111508292">
    <w:abstractNumId w:val="6"/>
  </w:num>
  <w:num w:numId="3" w16cid:durableId="529882186">
    <w:abstractNumId w:val="5"/>
  </w:num>
  <w:num w:numId="4" w16cid:durableId="2039547264">
    <w:abstractNumId w:val="4"/>
  </w:num>
  <w:num w:numId="5" w16cid:durableId="351954555">
    <w:abstractNumId w:val="7"/>
  </w:num>
  <w:num w:numId="6" w16cid:durableId="1669597919">
    <w:abstractNumId w:val="3"/>
  </w:num>
  <w:num w:numId="7" w16cid:durableId="395513660">
    <w:abstractNumId w:val="2"/>
  </w:num>
  <w:num w:numId="8" w16cid:durableId="1750082787">
    <w:abstractNumId w:val="1"/>
  </w:num>
  <w:num w:numId="9" w16cid:durableId="29498658">
    <w:abstractNumId w:val="0"/>
  </w:num>
  <w:num w:numId="10" w16cid:durableId="692927566">
    <w:abstractNumId w:val="13"/>
  </w:num>
  <w:num w:numId="11" w16cid:durableId="1742218682">
    <w:abstractNumId w:val="14"/>
  </w:num>
  <w:num w:numId="12" w16cid:durableId="42367880">
    <w:abstractNumId w:val="12"/>
  </w:num>
  <w:num w:numId="13" w16cid:durableId="489715175">
    <w:abstractNumId w:val="10"/>
  </w:num>
  <w:num w:numId="14" w16cid:durableId="1792045813">
    <w:abstractNumId w:val="11"/>
  </w:num>
  <w:num w:numId="15" w16cid:durableId="391197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984"/>
    <w:rsid w:val="000D49A0"/>
    <w:rsid w:val="0015074B"/>
    <w:rsid w:val="001640AB"/>
    <w:rsid w:val="0029639D"/>
    <w:rsid w:val="00326F90"/>
    <w:rsid w:val="00336D21"/>
    <w:rsid w:val="003B5318"/>
    <w:rsid w:val="00584717"/>
    <w:rsid w:val="006E4040"/>
    <w:rsid w:val="00730EBB"/>
    <w:rsid w:val="00A63C35"/>
    <w:rsid w:val="00AA1D8D"/>
    <w:rsid w:val="00B47730"/>
    <w:rsid w:val="00BD22DB"/>
    <w:rsid w:val="00CB0664"/>
    <w:rsid w:val="00D43F3C"/>
    <w:rsid w:val="00D85D14"/>
    <w:rsid w:val="00DA1F32"/>
    <w:rsid w:val="00E54AD3"/>
    <w:rsid w:val="00EA7156"/>
    <w:rsid w:val="00F74DEC"/>
    <w:rsid w:val="00FB68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9E184B"/>
  <w14:defaultImageDpi w14:val="300"/>
  <w15:docId w15:val="{DD2235BD-DB4F-471D-A207-31C73C22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03df7-17c5-4ac7-b8ad-58fb489b0fcb" xsi:nil="true"/>
    <lcf76f155ced4ddcb4097134ff3c332f xmlns="98383d57-6706-48ae-b4cd-d83a50112b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AFB6B913E83448BCD70FE0BEA752A" ma:contentTypeVersion="10" ma:contentTypeDescription="Create a new document." ma:contentTypeScope="" ma:versionID="4fda22e592853f0d478ebed4c677a4a7">
  <xsd:schema xmlns:xsd="http://www.w3.org/2001/XMLSchema" xmlns:xs="http://www.w3.org/2001/XMLSchema" xmlns:p="http://schemas.microsoft.com/office/2006/metadata/properties" xmlns:ns2="98383d57-6706-48ae-b4cd-d83a50112bdd" xmlns:ns3="07203df7-17c5-4ac7-b8ad-58fb489b0fcb" targetNamespace="http://schemas.microsoft.com/office/2006/metadata/properties" ma:root="true" ma:fieldsID="f5ef43b1267be9a2d8169a12d6c8014f" ns2:_="" ns3:_="">
    <xsd:import namespace="98383d57-6706-48ae-b4cd-d83a50112bdd"/>
    <xsd:import namespace="07203df7-17c5-4ac7-b8ad-58fb489b0f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83d57-6706-48ae-b4cd-d83a50112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206abf-4903-4708-849e-6d3395e7e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3df7-17c5-4ac7-b8ad-58fb489b0f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13d90-50fa-4b3e-8cd9-45d1e1b20cda}" ma:internalName="TaxCatchAll" ma:showField="CatchAllData" ma:web="07203df7-17c5-4ac7-b8ad-58fb489b0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68F2-0C82-4EDE-A3FB-332538BB643F}">
  <ds:schemaRefs>
    <ds:schemaRef ds:uri="http://schemas.microsoft.com/office/2006/metadata/properties"/>
    <ds:schemaRef ds:uri="http://schemas.microsoft.com/office/infopath/2007/PartnerControls"/>
    <ds:schemaRef ds:uri="07203df7-17c5-4ac7-b8ad-58fb489b0fcb"/>
    <ds:schemaRef ds:uri="98383d57-6706-48ae-b4cd-d83a50112bdd"/>
  </ds:schemaRefs>
</ds:datastoreItem>
</file>

<file path=customXml/itemProps2.xml><?xml version="1.0" encoding="utf-8"?>
<ds:datastoreItem xmlns:ds="http://schemas.openxmlformats.org/officeDocument/2006/customXml" ds:itemID="{0789201A-15BF-4EB1-ABB2-FEA83B7FC97B}">
  <ds:schemaRefs>
    <ds:schemaRef ds:uri="http://schemas.microsoft.com/sharepoint/v3/contenttype/forms"/>
  </ds:schemaRefs>
</ds:datastoreItem>
</file>

<file path=customXml/itemProps3.xml><?xml version="1.0" encoding="utf-8"?>
<ds:datastoreItem xmlns:ds="http://schemas.openxmlformats.org/officeDocument/2006/customXml" ds:itemID="{D8EA9292-07F1-4F13-90FF-D14EBF10F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83d57-6706-48ae-b4cd-d83a50112bdd"/>
    <ds:schemaRef ds:uri="07203df7-17c5-4ac7-b8ad-58fb489b0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2644</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Modern Slavery Policy</vt:lpstr>
    </vt:vector>
  </TitlesOfParts>
  <Manager/>
  <Company/>
  <LinksUpToDate>false</LinksUpToDate>
  <CharactersWithSpaces>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Policy</dc:title>
  <dc:subject>Modern Slavery Policy</dc:subject>
  <dc:creator>Muir Group</dc:creator>
  <cp:keywords/>
  <dc:description>Created for review based on supplied policy format.</dc:description>
  <cp:lastModifiedBy>Joanna Richardson</cp:lastModifiedBy>
  <cp:revision>2</cp:revision>
  <dcterms:created xsi:type="dcterms:W3CDTF">2026-05-14T08:22:00Z</dcterms:created>
  <dcterms:modified xsi:type="dcterms:W3CDTF">2026-05-14T08:22:00Z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0x010100A38AFB6B913E83448BCD70FE0BEA752A</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eb94ad42-8667-454f-a6b7-721f69e4d073</vt:lpwstr>
  </property>
</Properties>
</file>